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147" w:tblpY="525"/>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532"/>
      </w:tblGrid>
      <w:tr w:rsidR="002336D8" w14:paraId="1E148989" w14:textId="77777777" w:rsidTr="00045EE0">
        <w:trPr>
          <w:trHeight w:val="1532"/>
        </w:trPr>
        <w:tc>
          <w:tcPr>
            <w:tcW w:w="2043" w:type="dxa"/>
            <w:tcBorders>
              <w:top w:val="single" w:sz="4" w:space="0" w:color="auto"/>
              <w:left w:val="single" w:sz="4" w:space="0" w:color="auto"/>
              <w:bottom w:val="single" w:sz="4" w:space="0" w:color="auto"/>
              <w:right w:val="single" w:sz="4" w:space="0" w:color="auto"/>
            </w:tcBorders>
            <w:hideMark/>
          </w:tcPr>
          <w:p w14:paraId="10CDDA2C" w14:textId="77777777" w:rsidR="002336D8" w:rsidRDefault="002336D8" w:rsidP="00045EE0">
            <w:pPr>
              <w:pStyle w:val="Heading1"/>
              <w:jc w:val="center"/>
              <w:rPr>
                <w:rStyle w:val="Emphasis"/>
                <w:rFonts w:ascii="Calibri" w:hAnsi="Calibri"/>
                <w:b w:val="0"/>
                <w:i w:val="0"/>
                <w:szCs w:val="24"/>
              </w:rPr>
            </w:pPr>
            <w:r>
              <w:rPr>
                <w:rFonts w:ascii="Calibri" w:hAnsi="Calibri"/>
                <w:b w:val="0"/>
                <w:noProof/>
                <w:sz w:val="22"/>
                <w:szCs w:val="22"/>
                <w:lang w:eastAsia="en-GB"/>
              </w:rPr>
              <w:drawing>
                <wp:inline distT="0" distB="0" distL="0" distR="0" wp14:anchorId="4D40583C" wp14:editId="3885D5DB">
                  <wp:extent cx="1047750" cy="10191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47750" cy="1019175"/>
                          </a:xfrm>
                          <a:prstGeom prst="rect">
                            <a:avLst/>
                          </a:prstGeom>
                          <a:noFill/>
                          <a:ln w="9525">
                            <a:noFill/>
                            <a:miter lim="800000"/>
                            <a:headEnd/>
                            <a:tailEnd/>
                          </a:ln>
                        </pic:spPr>
                      </pic:pic>
                    </a:graphicData>
                  </a:graphic>
                </wp:inline>
              </w:drawing>
            </w:r>
          </w:p>
        </w:tc>
        <w:tc>
          <w:tcPr>
            <w:tcW w:w="7532" w:type="dxa"/>
            <w:tcBorders>
              <w:top w:val="single" w:sz="4" w:space="0" w:color="auto"/>
              <w:left w:val="single" w:sz="4" w:space="0" w:color="auto"/>
              <w:bottom w:val="single" w:sz="4" w:space="0" w:color="auto"/>
              <w:right w:val="single" w:sz="4" w:space="0" w:color="auto"/>
            </w:tcBorders>
          </w:tcPr>
          <w:p w14:paraId="44379570" w14:textId="77777777" w:rsidR="002336D8" w:rsidRDefault="002336D8" w:rsidP="00045EE0">
            <w:pPr>
              <w:pStyle w:val="Heading1"/>
              <w:rPr>
                <w:rStyle w:val="Emphasis"/>
                <w:rFonts w:ascii="Calibri" w:hAnsi="Calibri"/>
                <w:b w:val="0"/>
                <w:i w:val="0"/>
                <w:sz w:val="12"/>
              </w:rPr>
            </w:pPr>
          </w:p>
          <w:p w14:paraId="236CC028" w14:textId="77777777" w:rsidR="002336D8" w:rsidRDefault="002336D8" w:rsidP="00045EE0">
            <w:pPr>
              <w:pStyle w:val="Heading1"/>
              <w:rPr>
                <w:i/>
              </w:rPr>
            </w:pPr>
            <w:r>
              <w:rPr>
                <w:rStyle w:val="Emphasis"/>
              </w:rPr>
              <w:t xml:space="preserve">At </w:t>
            </w:r>
            <w:smartTag w:uri="urn:schemas-microsoft-com:office:smarttags" w:element="place">
              <w:smartTag w:uri="urn:schemas-microsoft-com:office:smarttags" w:element="PlaceName">
                <w:r>
                  <w:rPr>
                    <w:rStyle w:val="Emphasis"/>
                  </w:rPr>
                  <w:t>Shelford</w:t>
                </w:r>
              </w:smartTag>
              <w:r>
                <w:rPr>
                  <w:rStyle w:val="Emphasis"/>
                </w:rPr>
                <w:t xml:space="preserve"> </w:t>
              </w:r>
              <w:smartTag w:uri="urn:schemas-microsoft-com:office:smarttags" w:element="PlaceType">
                <w:r>
                  <w:rPr>
                    <w:rStyle w:val="Emphasis"/>
                  </w:rPr>
                  <w:t>School</w:t>
                </w:r>
              </w:smartTag>
            </w:smartTag>
            <w:r>
              <w:rPr>
                <w:rStyle w:val="Emphasis"/>
              </w:rPr>
              <w:t xml:space="preserve"> we work together to safeguard our pupils and to enable them to attain the highest standards of academic achievement. We encourage them to be confident and successful within an orderly, secure and Christian environment and to make a positive contribution to the lives of others</w:t>
            </w:r>
          </w:p>
        </w:tc>
      </w:tr>
    </w:tbl>
    <w:p w14:paraId="14ED1FCB" w14:textId="77777777" w:rsidR="002336D8" w:rsidRDefault="002336D8" w:rsidP="002336D8">
      <w:pPr>
        <w:rPr>
          <w:rFonts w:ascii="Calibri" w:hAnsi="Calibri"/>
          <w:b/>
          <w:bCs/>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7873"/>
      </w:tblGrid>
      <w:tr w:rsidR="002336D8" w14:paraId="7B6C5A31" w14:textId="77777777" w:rsidTr="00CB2BEF">
        <w:trPr>
          <w:trHeight w:val="552"/>
          <w:jc w:val="center"/>
        </w:trPr>
        <w:tc>
          <w:tcPr>
            <w:tcW w:w="2018" w:type="dxa"/>
            <w:tcBorders>
              <w:top w:val="single" w:sz="4" w:space="0" w:color="auto"/>
              <w:left w:val="single" w:sz="4" w:space="0" w:color="auto"/>
              <w:bottom w:val="single" w:sz="4" w:space="0" w:color="auto"/>
              <w:right w:val="single" w:sz="4" w:space="0" w:color="auto"/>
            </w:tcBorders>
            <w:hideMark/>
          </w:tcPr>
          <w:p w14:paraId="67E96C1C" w14:textId="77777777" w:rsidR="002336D8" w:rsidRDefault="002336D8">
            <w:pPr>
              <w:rPr>
                <w:rFonts w:ascii="Calibri" w:hAnsi="Calibri"/>
                <w:b/>
                <w:bCs/>
                <w:sz w:val="28"/>
                <w:szCs w:val="28"/>
              </w:rPr>
            </w:pPr>
            <w:r>
              <w:rPr>
                <w:rFonts w:ascii="Calibri" w:hAnsi="Calibri"/>
                <w:b/>
                <w:bCs/>
                <w:sz w:val="28"/>
                <w:szCs w:val="28"/>
              </w:rPr>
              <w:t>Policy name:</w:t>
            </w:r>
          </w:p>
        </w:tc>
        <w:tc>
          <w:tcPr>
            <w:tcW w:w="7873" w:type="dxa"/>
            <w:tcBorders>
              <w:top w:val="single" w:sz="4" w:space="0" w:color="auto"/>
              <w:left w:val="single" w:sz="4" w:space="0" w:color="auto"/>
              <w:bottom w:val="single" w:sz="4" w:space="0" w:color="auto"/>
              <w:right w:val="single" w:sz="4" w:space="0" w:color="auto"/>
            </w:tcBorders>
            <w:hideMark/>
          </w:tcPr>
          <w:p w14:paraId="00E56550" w14:textId="20A3A4A3" w:rsidR="002336D8" w:rsidRDefault="00045EE0">
            <w:pPr>
              <w:rPr>
                <w:rFonts w:ascii="Calibri" w:hAnsi="Calibri"/>
                <w:b/>
                <w:sz w:val="28"/>
                <w:szCs w:val="28"/>
                <w:lang w:val="en-US"/>
              </w:rPr>
            </w:pPr>
            <w:bookmarkStart w:id="0" w:name="_Hlk509430177"/>
            <w:r w:rsidRPr="00045EE0">
              <w:rPr>
                <w:rFonts w:ascii="Calibri" w:hAnsi="Calibri"/>
                <w:b/>
                <w:bCs/>
                <w:sz w:val="28"/>
                <w:szCs w:val="28"/>
              </w:rPr>
              <w:t>Charging and Remissions</w:t>
            </w:r>
            <w:bookmarkEnd w:id="0"/>
          </w:p>
        </w:tc>
      </w:tr>
      <w:tr w:rsidR="002336D8" w14:paraId="3217B75E" w14:textId="77777777" w:rsidTr="00CB2BEF">
        <w:trPr>
          <w:trHeight w:val="568"/>
          <w:jc w:val="center"/>
        </w:trPr>
        <w:tc>
          <w:tcPr>
            <w:tcW w:w="2018" w:type="dxa"/>
            <w:tcBorders>
              <w:top w:val="single" w:sz="4" w:space="0" w:color="auto"/>
              <w:left w:val="single" w:sz="4" w:space="0" w:color="auto"/>
              <w:bottom w:val="single" w:sz="4" w:space="0" w:color="auto"/>
              <w:right w:val="single" w:sz="4" w:space="0" w:color="auto"/>
            </w:tcBorders>
            <w:hideMark/>
          </w:tcPr>
          <w:p w14:paraId="06CD097C" w14:textId="77777777" w:rsidR="002336D8" w:rsidRDefault="002336D8">
            <w:pPr>
              <w:rPr>
                <w:rFonts w:ascii="Calibri" w:hAnsi="Calibri"/>
                <w:b/>
                <w:bCs/>
                <w:sz w:val="28"/>
                <w:szCs w:val="28"/>
              </w:rPr>
            </w:pPr>
            <w:r>
              <w:rPr>
                <w:rFonts w:ascii="Calibri" w:hAnsi="Calibri"/>
                <w:b/>
                <w:sz w:val="28"/>
                <w:szCs w:val="28"/>
              </w:rPr>
              <w:t>Review date:</w:t>
            </w:r>
          </w:p>
        </w:tc>
        <w:tc>
          <w:tcPr>
            <w:tcW w:w="7873" w:type="dxa"/>
            <w:tcBorders>
              <w:top w:val="single" w:sz="4" w:space="0" w:color="auto"/>
              <w:left w:val="single" w:sz="4" w:space="0" w:color="auto"/>
              <w:bottom w:val="single" w:sz="4" w:space="0" w:color="auto"/>
              <w:right w:val="single" w:sz="4" w:space="0" w:color="auto"/>
            </w:tcBorders>
          </w:tcPr>
          <w:p w14:paraId="06C0EB83" w14:textId="23DDA5F3" w:rsidR="002336D8" w:rsidRDefault="00045EE0" w:rsidP="00045EE0">
            <w:pPr>
              <w:tabs>
                <w:tab w:val="left" w:pos="3090"/>
              </w:tabs>
              <w:outlineLvl w:val="0"/>
              <w:rPr>
                <w:rFonts w:ascii="Calibri" w:hAnsi="Calibri"/>
                <w:b/>
                <w:bCs/>
                <w:sz w:val="28"/>
                <w:szCs w:val="28"/>
              </w:rPr>
            </w:pPr>
            <w:r>
              <w:rPr>
                <w:rFonts w:ascii="Calibri" w:hAnsi="Calibri"/>
                <w:b/>
                <w:sz w:val="28"/>
                <w:szCs w:val="28"/>
              </w:rPr>
              <w:t>22</w:t>
            </w:r>
            <w:r w:rsidRPr="00045EE0">
              <w:rPr>
                <w:rFonts w:ascii="Calibri" w:hAnsi="Calibri"/>
                <w:b/>
                <w:sz w:val="28"/>
                <w:szCs w:val="28"/>
                <w:vertAlign w:val="superscript"/>
              </w:rPr>
              <w:t>nd</w:t>
            </w:r>
            <w:r>
              <w:rPr>
                <w:rFonts w:ascii="Calibri" w:hAnsi="Calibri"/>
                <w:b/>
                <w:sz w:val="28"/>
                <w:szCs w:val="28"/>
              </w:rPr>
              <w:t xml:space="preserve"> March 2018</w:t>
            </w:r>
          </w:p>
        </w:tc>
      </w:tr>
      <w:tr w:rsidR="002336D8" w14:paraId="4D1A5C12" w14:textId="77777777" w:rsidTr="00CB2BEF">
        <w:trPr>
          <w:trHeight w:val="568"/>
          <w:jc w:val="center"/>
        </w:trPr>
        <w:tc>
          <w:tcPr>
            <w:tcW w:w="2018" w:type="dxa"/>
            <w:tcBorders>
              <w:top w:val="single" w:sz="4" w:space="0" w:color="auto"/>
              <w:left w:val="single" w:sz="4" w:space="0" w:color="auto"/>
              <w:bottom w:val="single" w:sz="4" w:space="0" w:color="auto"/>
              <w:right w:val="single" w:sz="4" w:space="0" w:color="auto"/>
            </w:tcBorders>
            <w:hideMark/>
          </w:tcPr>
          <w:p w14:paraId="52E25326" w14:textId="77777777" w:rsidR="002336D8" w:rsidRDefault="002336D8">
            <w:pPr>
              <w:rPr>
                <w:rFonts w:ascii="Calibri" w:hAnsi="Calibri"/>
                <w:b/>
                <w:sz w:val="28"/>
                <w:szCs w:val="28"/>
              </w:rPr>
            </w:pPr>
            <w:r>
              <w:rPr>
                <w:rFonts w:ascii="Calibri" w:hAnsi="Calibri"/>
                <w:b/>
                <w:sz w:val="28"/>
                <w:szCs w:val="28"/>
              </w:rPr>
              <w:t>Review meeting:</w:t>
            </w:r>
          </w:p>
        </w:tc>
        <w:tc>
          <w:tcPr>
            <w:tcW w:w="7873" w:type="dxa"/>
            <w:tcBorders>
              <w:top w:val="single" w:sz="4" w:space="0" w:color="auto"/>
              <w:left w:val="single" w:sz="4" w:space="0" w:color="auto"/>
              <w:bottom w:val="single" w:sz="4" w:space="0" w:color="auto"/>
              <w:right w:val="single" w:sz="4" w:space="0" w:color="auto"/>
            </w:tcBorders>
            <w:hideMark/>
          </w:tcPr>
          <w:p w14:paraId="4F9CCABC" w14:textId="77777777" w:rsidR="002336D8" w:rsidRDefault="002336D8">
            <w:pPr>
              <w:tabs>
                <w:tab w:val="left" w:pos="3090"/>
              </w:tabs>
              <w:outlineLvl w:val="0"/>
              <w:rPr>
                <w:rFonts w:ascii="Calibri" w:hAnsi="Calibri"/>
                <w:b/>
                <w:sz w:val="28"/>
                <w:szCs w:val="28"/>
              </w:rPr>
            </w:pPr>
            <w:r>
              <w:rPr>
                <w:rFonts w:ascii="Calibri" w:hAnsi="Calibri"/>
                <w:b/>
                <w:sz w:val="28"/>
                <w:szCs w:val="28"/>
              </w:rPr>
              <w:t>Governors Policy Committee</w:t>
            </w:r>
          </w:p>
        </w:tc>
      </w:tr>
      <w:tr w:rsidR="002336D8" w14:paraId="5EE72BA3" w14:textId="77777777" w:rsidTr="00CB2BEF">
        <w:trPr>
          <w:trHeight w:val="552"/>
          <w:jc w:val="center"/>
        </w:trPr>
        <w:tc>
          <w:tcPr>
            <w:tcW w:w="2018" w:type="dxa"/>
            <w:tcBorders>
              <w:top w:val="single" w:sz="4" w:space="0" w:color="auto"/>
              <w:left w:val="single" w:sz="4" w:space="0" w:color="auto"/>
              <w:bottom w:val="single" w:sz="4" w:space="0" w:color="auto"/>
              <w:right w:val="single" w:sz="4" w:space="0" w:color="auto"/>
            </w:tcBorders>
            <w:hideMark/>
          </w:tcPr>
          <w:p w14:paraId="074B0D36" w14:textId="77777777" w:rsidR="002336D8" w:rsidRDefault="002336D8">
            <w:pPr>
              <w:pStyle w:val="Title"/>
              <w:spacing w:line="276" w:lineRule="auto"/>
              <w:jc w:val="left"/>
              <w:rPr>
                <w:rFonts w:ascii="Calibri" w:hAnsi="Calibri"/>
                <w:szCs w:val="28"/>
                <w:u w:val="none"/>
              </w:rPr>
            </w:pPr>
            <w:r>
              <w:rPr>
                <w:rFonts w:ascii="Calibri" w:hAnsi="Calibri"/>
                <w:szCs w:val="28"/>
                <w:u w:val="none"/>
              </w:rPr>
              <w:t xml:space="preserve">Review due: </w:t>
            </w:r>
          </w:p>
        </w:tc>
        <w:tc>
          <w:tcPr>
            <w:tcW w:w="7873" w:type="dxa"/>
            <w:tcBorders>
              <w:top w:val="single" w:sz="4" w:space="0" w:color="auto"/>
              <w:left w:val="single" w:sz="4" w:space="0" w:color="auto"/>
              <w:bottom w:val="single" w:sz="4" w:space="0" w:color="auto"/>
              <w:right w:val="single" w:sz="4" w:space="0" w:color="auto"/>
            </w:tcBorders>
            <w:hideMark/>
          </w:tcPr>
          <w:p w14:paraId="65468EF5" w14:textId="6CAF8DCF" w:rsidR="002336D8" w:rsidRDefault="00045EE0">
            <w:pPr>
              <w:tabs>
                <w:tab w:val="left" w:pos="3090"/>
              </w:tabs>
              <w:outlineLvl w:val="0"/>
              <w:rPr>
                <w:rFonts w:ascii="Calibri" w:hAnsi="Calibri"/>
                <w:b/>
                <w:sz w:val="28"/>
                <w:szCs w:val="28"/>
              </w:rPr>
            </w:pPr>
            <w:r>
              <w:rPr>
                <w:rFonts w:ascii="Calibri" w:hAnsi="Calibri"/>
                <w:b/>
                <w:sz w:val="28"/>
                <w:szCs w:val="28"/>
              </w:rPr>
              <w:t>March 2021</w:t>
            </w:r>
          </w:p>
        </w:tc>
      </w:tr>
      <w:tr w:rsidR="002336D8" w14:paraId="524244FC" w14:textId="77777777" w:rsidTr="00CB2BEF">
        <w:trPr>
          <w:trHeight w:val="568"/>
          <w:jc w:val="center"/>
        </w:trPr>
        <w:tc>
          <w:tcPr>
            <w:tcW w:w="2018" w:type="dxa"/>
            <w:tcBorders>
              <w:top w:val="single" w:sz="4" w:space="0" w:color="auto"/>
              <w:left w:val="single" w:sz="4" w:space="0" w:color="auto"/>
              <w:bottom w:val="single" w:sz="4" w:space="0" w:color="auto"/>
              <w:right w:val="single" w:sz="4" w:space="0" w:color="auto"/>
            </w:tcBorders>
            <w:hideMark/>
          </w:tcPr>
          <w:p w14:paraId="6581F5DD" w14:textId="77777777" w:rsidR="002336D8" w:rsidRDefault="002336D8">
            <w:pPr>
              <w:pStyle w:val="Title"/>
              <w:spacing w:line="276" w:lineRule="auto"/>
              <w:jc w:val="left"/>
              <w:rPr>
                <w:rFonts w:ascii="Calibri" w:hAnsi="Calibri"/>
                <w:szCs w:val="28"/>
                <w:u w:val="none"/>
              </w:rPr>
            </w:pPr>
            <w:r>
              <w:rPr>
                <w:rFonts w:ascii="Calibri" w:hAnsi="Calibri"/>
                <w:szCs w:val="28"/>
                <w:u w:val="none"/>
              </w:rPr>
              <w:t>Signature and date:</w:t>
            </w:r>
          </w:p>
          <w:p w14:paraId="45C1FD78" w14:textId="77777777" w:rsidR="002336D8" w:rsidRDefault="002336D8">
            <w:pPr>
              <w:pStyle w:val="Title"/>
              <w:spacing w:line="276" w:lineRule="auto"/>
              <w:jc w:val="left"/>
              <w:rPr>
                <w:rFonts w:ascii="Calibri" w:hAnsi="Calibri"/>
                <w:szCs w:val="28"/>
                <w:u w:val="none"/>
              </w:rPr>
            </w:pPr>
            <w:r>
              <w:rPr>
                <w:rFonts w:ascii="Calibri" w:hAnsi="Calibri"/>
                <w:szCs w:val="28"/>
                <w:u w:val="none"/>
              </w:rPr>
              <w:t>(Governor)</w:t>
            </w:r>
          </w:p>
        </w:tc>
        <w:tc>
          <w:tcPr>
            <w:tcW w:w="7873" w:type="dxa"/>
            <w:tcBorders>
              <w:top w:val="single" w:sz="4" w:space="0" w:color="auto"/>
              <w:left w:val="single" w:sz="4" w:space="0" w:color="auto"/>
              <w:bottom w:val="single" w:sz="4" w:space="0" w:color="auto"/>
              <w:right w:val="single" w:sz="4" w:space="0" w:color="auto"/>
            </w:tcBorders>
          </w:tcPr>
          <w:p w14:paraId="3E25CACC" w14:textId="77777777" w:rsidR="002336D8" w:rsidRDefault="002336D8">
            <w:pPr>
              <w:rPr>
                <w:rFonts w:ascii="Calibri" w:hAnsi="Calibri"/>
                <w:b/>
                <w:bCs/>
                <w:sz w:val="28"/>
                <w:szCs w:val="28"/>
              </w:rPr>
            </w:pPr>
          </w:p>
          <w:p w14:paraId="4AE1C4A8" w14:textId="77777777" w:rsidR="002336D8" w:rsidRDefault="002336D8">
            <w:pPr>
              <w:rPr>
                <w:rFonts w:ascii="Calibri" w:hAnsi="Calibri"/>
                <w:b/>
                <w:bCs/>
                <w:sz w:val="28"/>
                <w:szCs w:val="28"/>
              </w:rPr>
            </w:pPr>
          </w:p>
        </w:tc>
      </w:tr>
      <w:tr w:rsidR="002336D8" w14:paraId="786781D2" w14:textId="77777777" w:rsidTr="00CB2BEF">
        <w:trPr>
          <w:trHeight w:val="615"/>
          <w:jc w:val="center"/>
        </w:trPr>
        <w:tc>
          <w:tcPr>
            <w:tcW w:w="2018" w:type="dxa"/>
            <w:tcBorders>
              <w:top w:val="single" w:sz="4" w:space="0" w:color="auto"/>
              <w:left w:val="single" w:sz="4" w:space="0" w:color="auto"/>
              <w:bottom w:val="single" w:sz="4" w:space="0" w:color="auto"/>
              <w:right w:val="single" w:sz="4" w:space="0" w:color="auto"/>
            </w:tcBorders>
            <w:hideMark/>
          </w:tcPr>
          <w:p w14:paraId="535D5D39" w14:textId="77777777" w:rsidR="002336D8" w:rsidRDefault="002336D8">
            <w:pPr>
              <w:pStyle w:val="Title"/>
              <w:spacing w:line="276" w:lineRule="auto"/>
              <w:jc w:val="left"/>
              <w:rPr>
                <w:rFonts w:ascii="Calibri" w:hAnsi="Calibri"/>
                <w:szCs w:val="28"/>
                <w:u w:val="none"/>
              </w:rPr>
            </w:pPr>
            <w:r>
              <w:rPr>
                <w:rFonts w:ascii="Calibri" w:hAnsi="Calibri"/>
                <w:szCs w:val="28"/>
                <w:u w:val="none"/>
              </w:rPr>
              <w:t>Signature and date:</w:t>
            </w:r>
          </w:p>
          <w:p w14:paraId="3FCE4034" w14:textId="77777777" w:rsidR="002336D8" w:rsidRDefault="002336D8">
            <w:pPr>
              <w:pStyle w:val="Title"/>
              <w:spacing w:line="276" w:lineRule="auto"/>
              <w:jc w:val="left"/>
              <w:rPr>
                <w:rFonts w:ascii="Calibri" w:hAnsi="Calibri"/>
                <w:szCs w:val="28"/>
                <w:u w:val="none"/>
              </w:rPr>
            </w:pPr>
            <w:r>
              <w:rPr>
                <w:rFonts w:ascii="Calibri" w:hAnsi="Calibri"/>
                <w:szCs w:val="28"/>
                <w:u w:val="none"/>
              </w:rPr>
              <w:t>(Headteacher)</w:t>
            </w:r>
          </w:p>
        </w:tc>
        <w:tc>
          <w:tcPr>
            <w:tcW w:w="7873" w:type="dxa"/>
            <w:tcBorders>
              <w:top w:val="single" w:sz="4" w:space="0" w:color="auto"/>
              <w:left w:val="single" w:sz="4" w:space="0" w:color="auto"/>
              <w:bottom w:val="single" w:sz="4" w:space="0" w:color="auto"/>
              <w:right w:val="single" w:sz="4" w:space="0" w:color="auto"/>
            </w:tcBorders>
          </w:tcPr>
          <w:p w14:paraId="6681E554" w14:textId="77777777" w:rsidR="002336D8" w:rsidRDefault="002336D8">
            <w:pPr>
              <w:rPr>
                <w:rFonts w:ascii="Calibri" w:hAnsi="Calibri"/>
                <w:b/>
                <w:bCs/>
                <w:sz w:val="28"/>
                <w:szCs w:val="28"/>
              </w:rPr>
            </w:pPr>
          </w:p>
          <w:p w14:paraId="2047AA93" w14:textId="77777777" w:rsidR="002336D8" w:rsidRDefault="002336D8">
            <w:pPr>
              <w:pStyle w:val="Heading1"/>
              <w:rPr>
                <w:rFonts w:ascii="Calibri" w:hAnsi="Calibri"/>
                <w:b w:val="0"/>
                <w:bCs w:val="0"/>
              </w:rPr>
            </w:pPr>
          </w:p>
        </w:tc>
      </w:tr>
    </w:tbl>
    <w:p w14:paraId="25F7D07A" w14:textId="77777777" w:rsidR="00045EE0" w:rsidRDefault="00045EE0" w:rsidP="00045EE0"/>
    <w:p w14:paraId="0803C6E8" w14:textId="77777777" w:rsidR="00045EE0" w:rsidRDefault="00045EE0" w:rsidP="00045EE0"/>
    <w:p w14:paraId="56A96477" w14:textId="77777777" w:rsidR="00045EE0" w:rsidRDefault="00045EE0" w:rsidP="00045EE0"/>
    <w:p w14:paraId="39C3328C" w14:textId="77777777" w:rsidR="00045EE0" w:rsidRDefault="00045EE0" w:rsidP="00045EE0">
      <w:bookmarkStart w:id="1" w:name="_GoBack"/>
      <w:bookmarkEnd w:id="1"/>
    </w:p>
    <w:p w14:paraId="3EE2588A" w14:textId="77777777" w:rsidR="00045EE0" w:rsidRDefault="00045EE0" w:rsidP="00045EE0"/>
    <w:p w14:paraId="101F8767" w14:textId="77777777" w:rsidR="00045EE0" w:rsidRDefault="00045EE0" w:rsidP="00045EE0"/>
    <w:p w14:paraId="4C7D3DBB" w14:textId="77777777" w:rsidR="00045EE0" w:rsidRDefault="00045EE0" w:rsidP="00045EE0"/>
    <w:p w14:paraId="113F0852" w14:textId="77777777" w:rsidR="00045EE0" w:rsidRDefault="00045EE0" w:rsidP="00045EE0"/>
    <w:p w14:paraId="35886315" w14:textId="77777777" w:rsidR="00045EE0" w:rsidRDefault="00045EE0" w:rsidP="00045EE0"/>
    <w:p w14:paraId="62D04F7A" w14:textId="49EE3AC7" w:rsidR="00045EE0" w:rsidRPr="00045EE0" w:rsidRDefault="00045EE0" w:rsidP="00045EE0">
      <w:pPr>
        <w:rPr>
          <w:sz w:val="24"/>
          <w:szCs w:val="24"/>
        </w:rPr>
      </w:pPr>
      <w:r w:rsidRPr="00045EE0">
        <w:rPr>
          <w:b/>
          <w:bCs/>
          <w:sz w:val="24"/>
          <w:szCs w:val="24"/>
        </w:rPr>
        <w:lastRenderedPageBreak/>
        <w:t>Charging and Remissions</w:t>
      </w:r>
    </w:p>
    <w:p w14:paraId="72C80260" w14:textId="17AE052A" w:rsidR="00045EE0" w:rsidRPr="00045EE0" w:rsidRDefault="00045EE0" w:rsidP="00045EE0">
      <w:pPr>
        <w:rPr>
          <w:sz w:val="24"/>
          <w:szCs w:val="24"/>
        </w:rPr>
      </w:pPr>
      <w:r w:rsidRPr="00045EE0">
        <w:rPr>
          <w:sz w:val="24"/>
          <w:szCs w:val="24"/>
        </w:rPr>
        <w:t>The Governing Bo</w:t>
      </w:r>
      <w:r w:rsidRPr="00045EE0">
        <w:rPr>
          <w:sz w:val="24"/>
          <w:szCs w:val="24"/>
        </w:rPr>
        <w:t>ard</w:t>
      </w:r>
      <w:r w:rsidRPr="00045EE0">
        <w:rPr>
          <w:sz w:val="24"/>
          <w:szCs w:val="24"/>
        </w:rPr>
        <w:t xml:space="preserve"> recognises the valuable contribution that the wide range of additional activities, including clubs and visits, can make towards a pupil’s education. The Governing Bo</w:t>
      </w:r>
      <w:r w:rsidRPr="00045EE0">
        <w:rPr>
          <w:sz w:val="24"/>
          <w:szCs w:val="24"/>
        </w:rPr>
        <w:t xml:space="preserve">ard </w:t>
      </w:r>
      <w:r w:rsidRPr="00045EE0">
        <w:rPr>
          <w:sz w:val="24"/>
          <w:szCs w:val="24"/>
        </w:rPr>
        <w:t>aims to promote and provide such activities as part of a broad and balanced curriculum for the pupils of the school and as additional activities.</w:t>
      </w:r>
    </w:p>
    <w:p w14:paraId="4A9A410D" w14:textId="77777777" w:rsidR="00045EE0" w:rsidRPr="00045EE0" w:rsidRDefault="00045EE0" w:rsidP="00045EE0">
      <w:pPr>
        <w:rPr>
          <w:sz w:val="24"/>
          <w:szCs w:val="24"/>
        </w:rPr>
      </w:pPr>
      <w:r w:rsidRPr="00045EE0">
        <w:rPr>
          <w:sz w:val="24"/>
          <w:szCs w:val="24"/>
        </w:rPr>
        <w:t>The purpose of this policy is to make clear the circumstances in which the school will charge for activities.</w:t>
      </w:r>
    </w:p>
    <w:p w14:paraId="154F11B6" w14:textId="77777777" w:rsidR="00045EE0" w:rsidRPr="00045EE0" w:rsidRDefault="00045EE0" w:rsidP="00045EE0">
      <w:pPr>
        <w:rPr>
          <w:sz w:val="24"/>
          <w:szCs w:val="24"/>
        </w:rPr>
      </w:pPr>
      <w:r w:rsidRPr="00045EE0">
        <w:rPr>
          <w:sz w:val="24"/>
          <w:szCs w:val="24"/>
        </w:rPr>
        <w:t>1.</w:t>
      </w:r>
      <w:r w:rsidRPr="00045EE0">
        <w:rPr>
          <w:sz w:val="24"/>
          <w:szCs w:val="24"/>
        </w:rPr>
        <w:tab/>
      </w:r>
      <w:r w:rsidRPr="00045EE0">
        <w:rPr>
          <w:sz w:val="24"/>
          <w:szCs w:val="24"/>
          <w:u w:val="single"/>
        </w:rPr>
        <w:t>Activities during school hours</w:t>
      </w:r>
    </w:p>
    <w:p w14:paraId="15673CA0" w14:textId="77777777" w:rsidR="00045EE0" w:rsidRPr="00045EE0" w:rsidRDefault="00045EE0" w:rsidP="00045EE0">
      <w:pPr>
        <w:rPr>
          <w:sz w:val="24"/>
          <w:szCs w:val="24"/>
        </w:rPr>
      </w:pPr>
      <w:r w:rsidRPr="00045EE0">
        <w:rPr>
          <w:sz w:val="24"/>
          <w:szCs w:val="24"/>
        </w:rPr>
        <w:t>1.1</w:t>
      </w:r>
      <w:r w:rsidRPr="00045EE0">
        <w:rPr>
          <w:sz w:val="24"/>
          <w:szCs w:val="24"/>
        </w:rPr>
        <w:tab/>
        <w:t>No charge will be made for any activity required to fulfil a statutory duty relating to the National Curriculum, except for:</w:t>
      </w:r>
    </w:p>
    <w:p w14:paraId="348D80DF" w14:textId="77777777" w:rsidR="00045EE0" w:rsidRPr="00045EE0" w:rsidRDefault="00045EE0" w:rsidP="00045EE0">
      <w:pPr>
        <w:rPr>
          <w:sz w:val="24"/>
          <w:szCs w:val="24"/>
        </w:rPr>
      </w:pPr>
      <w:r w:rsidRPr="00045EE0">
        <w:rPr>
          <w:sz w:val="24"/>
          <w:szCs w:val="24"/>
        </w:rPr>
        <w:t xml:space="preserve"> a) the board and lodging element of residential trips</w:t>
      </w:r>
    </w:p>
    <w:p w14:paraId="3395AE13" w14:textId="77777777" w:rsidR="00045EE0" w:rsidRPr="00045EE0" w:rsidRDefault="00045EE0" w:rsidP="00045EE0">
      <w:pPr>
        <w:rPr>
          <w:sz w:val="24"/>
          <w:szCs w:val="24"/>
        </w:rPr>
      </w:pPr>
      <w:r w:rsidRPr="00045EE0">
        <w:rPr>
          <w:sz w:val="24"/>
          <w:szCs w:val="24"/>
        </w:rPr>
        <w:t xml:space="preserve"> b) musical instrument tuition</w:t>
      </w:r>
    </w:p>
    <w:p w14:paraId="66F32637" w14:textId="1D918B99" w:rsidR="00045EE0" w:rsidRPr="00045EE0" w:rsidRDefault="00045EE0" w:rsidP="00045EE0">
      <w:pPr>
        <w:rPr>
          <w:sz w:val="24"/>
          <w:szCs w:val="24"/>
        </w:rPr>
      </w:pPr>
      <w:r w:rsidRPr="00045EE0">
        <w:rPr>
          <w:sz w:val="24"/>
          <w:szCs w:val="24"/>
        </w:rPr>
        <w:t xml:space="preserve"> c) There is no charge for class music tuition as part of the National </w:t>
      </w:r>
      <w:proofErr w:type="gramStart"/>
      <w:r w:rsidRPr="00045EE0">
        <w:rPr>
          <w:sz w:val="24"/>
          <w:szCs w:val="24"/>
        </w:rPr>
        <w:t>Curriculum</w:t>
      </w:r>
      <w:proofErr w:type="gramEnd"/>
      <w:r w:rsidRPr="00045EE0">
        <w:rPr>
          <w:sz w:val="24"/>
          <w:szCs w:val="24"/>
        </w:rPr>
        <w:t xml:space="preserve"> but parents will be asked to provide their child with a recorder and book in Year 3.   </w:t>
      </w:r>
    </w:p>
    <w:p w14:paraId="484FD744" w14:textId="77777777" w:rsidR="00045EE0" w:rsidRPr="00045EE0" w:rsidRDefault="00045EE0" w:rsidP="00045EE0">
      <w:pPr>
        <w:rPr>
          <w:sz w:val="24"/>
          <w:szCs w:val="24"/>
        </w:rPr>
      </w:pPr>
      <w:r w:rsidRPr="00045EE0">
        <w:rPr>
          <w:sz w:val="24"/>
          <w:szCs w:val="24"/>
        </w:rPr>
        <w:t>1.2</w:t>
      </w:r>
      <w:r w:rsidRPr="00045EE0">
        <w:rPr>
          <w:sz w:val="24"/>
          <w:szCs w:val="24"/>
        </w:rPr>
        <w:tab/>
        <w:t xml:space="preserve">Parents will not be required to supply any books, materials or other equipment for use in school hours.   Pupils may bring items such as writing implements or </w:t>
      </w:r>
      <w:proofErr w:type="gramStart"/>
      <w:r w:rsidRPr="00045EE0">
        <w:rPr>
          <w:sz w:val="24"/>
          <w:szCs w:val="24"/>
        </w:rPr>
        <w:t>calculators</w:t>
      </w:r>
      <w:proofErr w:type="gramEnd"/>
      <w:r w:rsidRPr="00045EE0">
        <w:rPr>
          <w:sz w:val="24"/>
          <w:szCs w:val="24"/>
        </w:rPr>
        <w:t xml:space="preserve"> but they do so at their own risk.</w:t>
      </w:r>
    </w:p>
    <w:p w14:paraId="4875E7A1" w14:textId="77777777" w:rsidR="00045EE0" w:rsidRDefault="00045EE0" w:rsidP="00045EE0">
      <w:pPr>
        <w:rPr>
          <w:sz w:val="24"/>
          <w:szCs w:val="24"/>
        </w:rPr>
      </w:pPr>
    </w:p>
    <w:p w14:paraId="58FC1299" w14:textId="2554FCE0" w:rsidR="00045EE0" w:rsidRPr="00045EE0" w:rsidRDefault="00045EE0" w:rsidP="00045EE0">
      <w:pPr>
        <w:rPr>
          <w:sz w:val="24"/>
          <w:szCs w:val="24"/>
        </w:rPr>
      </w:pPr>
      <w:r w:rsidRPr="00045EE0">
        <w:rPr>
          <w:sz w:val="24"/>
          <w:szCs w:val="24"/>
        </w:rPr>
        <w:t>2.</w:t>
      </w:r>
      <w:r w:rsidRPr="00045EE0">
        <w:rPr>
          <w:sz w:val="24"/>
          <w:szCs w:val="24"/>
        </w:rPr>
        <w:tab/>
      </w:r>
      <w:r w:rsidRPr="00045EE0">
        <w:rPr>
          <w:sz w:val="24"/>
          <w:szCs w:val="24"/>
          <w:u w:val="single"/>
        </w:rPr>
        <w:t>Education outside school hours</w:t>
      </w:r>
    </w:p>
    <w:p w14:paraId="59624FE2" w14:textId="77777777" w:rsidR="00045EE0" w:rsidRPr="00045EE0" w:rsidRDefault="00045EE0" w:rsidP="00045EE0">
      <w:pPr>
        <w:rPr>
          <w:sz w:val="24"/>
          <w:szCs w:val="24"/>
        </w:rPr>
      </w:pPr>
      <w:r w:rsidRPr="00045EE0">
        <w:rPr>
          <w:sz w:val="24"/>
          <w:szCs w:val="24"/>
        </w:rPr>
        <w:t>2.1</w:t>
      </w:r>
      <w:r w:rsidRPr="00045EE0">
        <w:rPr>
          <w:sz w:val="24"/>
          <w:szCs w:val="24"/>
        </w:rPr>
        <w:tab/>
        <w:t>The school may charge for activities which take place outside, or mainly outside, school hours, except for those activities which are required to fulfil a statutory duty relating to the National Curriculum.</w:t>
      </w:r>
    </w:p>
    <w:p w14:paraId="21152BDA" w14:textId="77777777" w:rsidR="00045EE0" w:rsidRPr="00045EE0" w:rsidRDefault="00045EE0" w:rsidP="00045EE0">
      <w:pPr>
        <w:rPr>
          <w:sz w:val="24"/>
          <w:szCs w:val="24"/>
        </w:rPr>
      </w:pPr>
      <w:r w:rsidRPr="00045EE0">
        <w:rPr>
          <w:sz w:val="24"/>
          <w:szCs w:val="24"/>
        </w:rPr>
        <w:t>2.2</w:t>
      </w:r>
      <w:r w:rsidRPr="00045EE0">
        <w:rPr>
          <w:sz w:val="24"/>
          <w:szCs w:val="24"/>
        </w:rPr>
        <w:tab/>
        <w:t xml:space="preserve"> If the activity is held outside school hours and is education other than non-chargeable education, it is regarded as an “optional extra”. A charge may be made for the full cost of the activity but must not exceed the actual cost of providing the activity. The charge may include the costs of travel, board and lodging, additional staff costs, entrance fees, insurance, materials and equipment</w:t>
      </w:r>
    </w:p>
    <w:p w14:paraId="65A024E8" w14:textId="3DCA38CD" w:rsidR="00045EE0" w:rsidRPr="00045EE0" w:rsidRDefault="00045EE0" w:rsidP="00045EE0">
      <w:pPr>
        <w:rPr>
          <w:sz w:val="24"/>
          <w:szCs w:val="24"/>
        </w:rPr>
      </w:pPr>
      <w:r w:rsidRPr="00045EE0">
        <w:rPr>
          <w:sz w:val="24"/>
          <w:szCs w:val="24"/>
        </w:rPr>
        <w:t>2.</w:t>
      </w:r>
      <w:r>
        <w:rPr>
          <w:sz w:val="24"/>
          <w:szCs w:val="24"/>
        </w:rPr>
        <w:t>3</w:t>
      </w:r>
      <w:r w:rsidRPr="00045EE0">
        <w:rPr>
          <w:sz w:val="24"/>
          <w:szCs w:val="24"/>
        </w:rPr>
        <w:tab/>
        <w:t>Any charge made to individual parents will not include any cost added to subsidise parents of children unwilling or unable to pay the charge.</w:t>
      </w:r>
    </w:p>
    <w:p w14:paraId="4BB4B617" w14:textId="11F1DD94" w:rsidR="00045EE0" w:rsidRDefault="00045EE0" w:rsidP="00045EE0">
      <w:pPr>
        <w:rPr>
          <w:sz w:val="24"/>
          <w:szCs w:val="24"/>
        </w:rPr>
      </w:pPr>
    </w:p>
    <w:p w14:paraId="06CE26B9" w14:textId="77777777" w:rsidR="00045EE0" w:rsidRPr="00045EE0" w:rsidRDefault="00045EE0" w:rsidP="00045EE0">
      <w:pPr>
        <w:rPr>
          <w:sz w:val="24"/>
          <w:szCs w:val="24"/>
        </w:rPr>
      </w:pPr>
    </w:p>
    <w:p w14:paraId="6EBA7A14" w14:textId="77777777" w:rsidR="00045EE0" w:rsidRPr="00045EE0" w:rsidRDefault="00045EE0" w:rsidP="00045EE0">
      <w:pPr>
        <w:rPr>
          <w:sz w:val="24"/>
          <w:szCs w:val="24"/>
        </w:rPr>
      </w:pPr>
    </w:p>
    <w:p w14:paraId="02EA366C" w14:textId="77777777" w:rsidR="00045EE0" w:rsidRPr="00045EE0" w:rsidRDefault="00045EE0" w:rsidP="00045EE0">
      <w:pPr>
        <w:rPr>
          <w:sz w:val="24"/>
          <w:szCs w:val="24"/>
        </w:rPr>
      </w:pPr>
      <w:r w:rsidRPr="00045EE0">
        <w:rPr>
          <w:sz w:val="24"/>
          <w:szCs w:val="24"/>
        </w:rPr>
        <w:lastRenderedPageBreak/>
        <w:t>3.</w:t>
      </w:r>
      <w:r w:rsidRPr="00045EE0">
        <w:rPr>
          <w:sz w:val="24"/>
          <w:szCs w:val="24"/>
        </w:rPr>
        <w:tab/>
      </w:r>
      <w:r w:rsidRPr="00045EE0">
        <w:rPr>
          <w:sz w:val="24"/>
          <w:szCs w:val="24"/>
          <w:u w:val="single"/>
        </w:rPr>
        <w:t>Breakages and Damages</w:t>
      </w:r>
    </w:p>
    <w:p w14:paraId="6E368919" w14:textId="77777777" w:rsidR="00045EE0" w:rsidRPr="00045EE0" w:rsidRDefault="00045EE0" w:rsidP="00045EE0">
      <w:pPr>
        <w:rPr>
          <w:sz w:val="24"/>
          <w:szCs w:val="24"/>
        </w:rPr>
      </w:pPr>
      <w:r w:rsidRPr="00045EE0">
        <w:rPr>
          <w:sz w:val="24"/>
          <w:szCs w:val="24"/>
        </w:rPr>
        <w:t>The Governors will require parents to pay for the cost of damage caused by the pupil’ behaviour (e.g. breakage of a window, damage to furniture.)   This also applies to lost, damaged or defaced text books.</w:t>
      </w:r>
    </w:p>
    <w:p w14:paraId="703E649A" w14:textId="77777777" w:rsidR="00045EE0" w:rsidRPr="00045EE0" w:rsidRDefault="00045EE0" w:rsidP="00045EE0">
      <w:pPr>
        <w:rPr>
          <w:sz w:val="24"/>
          <w:szCs w:val="24"/>
        </w:rPr>
      </w:pPr>
      <w:r w:rsidRPr="00045EE0">
        <w:rPr>
          <w:sz w:val="24"/>
          <w:szCs w:val="24"/>
        </w:rPr>
        <w:t xml:space="preserve">4.          </w:t>
      </w:r>
      <w:r w:rsidRPr="00045EE0">
        <w:rPr>
          <w:sz w:val="24"/>
          <w:szCs w:val="24"/>
          <w:u w:val="single"/>
        </w:rPr>
        <w:t>Voluntary contributions</w:t>
      </w:r>
    </w:p>
    <w:p w14:paraId="1D723CF0" w14:textId="77777777" w:rsidR="00045EE0" w:rsidRPr="00045EE0" w:rsidRDefault="00045EE0" w:rsidP="00045EE0">
      <w:pPr>
        <w:rPr>
          <w:sz w:val="24"/>
          <w:szCs w:val="24"/>
        </w:rPr>
      </w:pPr>
      <w:r w:rsidRPr="00045EE0">
        <w:rPr>
          <w:sz w:val="24"/>
          <w:szCs w:val="24"/>
        </w:rPr>
        <w:t xml:space="preserve">4.1 The school may request voluntary contributions from parents or carers for any activity for which a charge may not legally be made, </w:t>
      </w:r>
      <w:proofErr w:type="gramStart"/>
      <w:r w:rsidRPr="00045EE0">
        <w:rPr>
          <w:sz w:val="24"/>
          <w:szCs w:val="24"/>
        </w:rPr>
        <w:t>Any</w:t>
      </w:r>
      <w:proofErr w:type="gramEnd"/>
      <w:r w:rsidRPr="00045EE0">
        <w:rPr>
          <w:sz w:val="24"/>
          <w:szCs w:val="24"/>
        </w:rPr>
        <w:t xml:space="preserve"> such request will make it clear that contributions are voluntary, but may state that, if contributions received are insufficient, the activity may be cancelled.</w:t>
      </w:r>
    </w:p>
    <w:p w14:paraId="70DEA8F7" w14:textId="77777777" w:rsidR="00045EE0" w:rsidRPr="00045EE0" w:rsidRDefault="00045EE0" w:rsidP="00045EE0">
      <w:pPr>
        <w:rPr>
          <w:sz w:val="24"/>
          <w:szCs w:val="24"/>
        </w:rPr>
      </w:pPr>
      <w:r w:rsidRPr="00045EE0">
        <w:rPr>
          <w:sz w:val="24"/>
          <w:szCs w:val="24"/>
        </w:rPr>
        <w:t>4.2</w:t>
      </w:r>
      <w:r w:rsidRPr="00045EE0">
        <w:rPr>
          <w:sz w:val="24"/>
          <w:szCs w:val="24"/>
        </w:rPr>
        <w:tab/>
        <w:t>Voluntary contributions may be requested to cover:</w:t>
      </w:r>
    </w:p>
    <w:p w14:paraId="29050CE9" w14:textId="77777777" w:rsidR="00045EE0" w:rsidRPr="00045EE0" w:rsidRDefault="00045EE0" w:rsidP="00045EE0">
      <w:pPr>
        <w:rPr>
          <w:sz w:val="24"/>
          <w:szCs w:val="24"/>
        </w:rPr>
      </w:pPr>
      <w:r w:rsidRPr="00045EE0">
        <w:rPr>
          <w:sz w:val="24"/>
          <w:szCs w:val="24"/>
        </w:rPr>
        <w:t>a)</w:t>
      </w:r>
      <w:r w:rsidRPr="00045EE0">
        <w:rPr>
          <w:sz w:val="24"/>
          <w:szCs w:val="24"/>
        </w:rPr>
        <w:tab/>
        <w:t>the costs directly incurred by the school in connection with the activity</w:t>
      </w:r>
    </w:p>
    <w:p w14:paraId="41CCFFD1" w14:textId="77777777" w:rsidR="00045EE0" w:rsidRPr="00045EE0" w:rsidRDefault="00045EE0" w:rsidP="00045EE0">
      <w:pPr>
        <w:rPr>
          <w:sz w:val="24"/>
          <w:szCs w:val="24"/>
        </w:rPr>
      </w:pPr>
      <w:r w:rsidRPr="00045EE0">
        <w:rPr>
          <w:sz w:val="24"/>
          <w:szCs w:val="24"/>
        </w:rPr>
        <w:t>b)</w:t>
      </w:r>
      <w:r w:rsidRPr="00045EE0">
        <w:rPr>
          <w:sz w:val="24"/>
          <w:szCs w:val="24"/>
        </w:rPr>
        <w:tab/>
        <w:t>The costs incurred by the school in administering arrangements for the activity and facilitating the activity taking place</w:t>
      </w:r>
    </w:p>
    <w:p w14:paraId="707EBF1A" w14:textId="77777777" w:rsidR="00045EE0" w:rsidRPr="00045EE0" w:rsidRDefault="00045EE0" w:rsidP="00045EE0">
      <w:pPr>
        <w:rPr>
          <w:sz w:val="24"/>
          <w:szCs w:val="24"/>
        </w:rPr>
      </w:pPr>
      <w:r w:rsidRPr="00045EE0">
        <w:rPr>
          <w:sz w:val="24"/>
          <w:szCs w:val="24"/>
        </w:rPr>
        <w:t>c)</w:t>
      </w:r>
      <w:r w:rsidRPr="00045EE0">
        <w:rPr>
          <w:sz w:val="24"/>
          <w:szCs w:val="24"/>
        </w:rPr>
        <w:tab/>
        <w:t>The costs incurred in connection with the activity by teachers or other responsible adults who supervise the activity</w:t>
      </w:r>
    </w:p>
    <w:p w14:paraId="58CB25B1" w14:textId="50E046CC" w:rsidR="00045EE0" w:rsidRPr="00045EE0" w:rsidRDefault="00045EE0" w:rsidP="00045EE0">
      <w:pPr>
        <w:rPr>
          <w:sz w:val="24"/>
          <w:szCs w:val="24"/>
        </w:rPr>
      </w:pPr>
      <w:r w:rsidRPr="00045EE0">
        <w:rPr>
          <w:sz w:val="24"/>
          <w:szCs w:val="24"/>
        </w:rPr>
        <w:t>d)</w:t>
      </w:r>
      <w:r w:rsidRPr="00045EE0">
        <w:rPr>
          <w:sz w:val="24"/>
          <w:szCs w:val="24"/>
        </w:rPr>
        <w:tab/>
        <w:t>The costs of consumable items used in connection with any activity where the pupil will own the finished product.</w:t>
      </w:r>
    </w:p>
    <w:p w14:paraId="1C828E7D" w14:textId="77777777" w:rsidR="00045EE0" w:rsidRPr="00045EE0" w:rsidRDefault="00045EE0" w:rsidP="00045EE0">
      <w:pPr>
        <w:rPr>
          <w:sz w:val="24"/>
          <w:szCs w:val="24"/>
          <w:u w:val="single"/>
        </w:rPr>
      </w:pPr>
      <w:r w:rsidRPr="00045EE0">
        <w:rPr>
          <w:sz w:val="24"/>
          <w:szCs w:val="24"/>
          <w:u w:val="single"/>
        </w:rPr>
        <w:t>Remission of charges</w:t>
      </w:r>
    </w:p>
    <w:p w14:paraId="56B87079" w14:textId="77777777" w:rsidR="00045EE0" w:rsidRPr="00045EE0" w:rsidRDefault="00045EE0" w:rsidP="00045EE0">
      <w:pPr>
        <w:rPr>
          <w:sz w:val="24"/>
          <w:szCs w:val="24"/>
        </w:rPr>
      </w:pPr>
      <w:r w:rsidRPr="00045EE0">
        <w:rPr>
          <w:sz w:val="24"/>
          <w:szCs w:val="24"/>
        </w:rPr>
        <w:t>a)</w:t>
      </w:r>
      <w:r w:rsidRPr="00045EE0">
        <w:rPr>
          <w:sz w:val="24"/>
          <w:szCs w:val="24"/>
        </w:rPr>
        <w:tab/>
        <w:t xml:space="preserve">Where non-chargeable education is provided during a residential visit, then the parents of a pupil who is eligible for free school meals in accordance with the current legislation at the time, shall receive a complete remission of any charges that would otherwise be payable in respect of board and lodging. </w:t>
      </w:r>
    </w:p>
    <w:p w14:paraId="61A15219" w14:textId="2865F3FC" w:rsidR="00045EE0" w:rsidRDefault="00045EE0" w:rsidP="00045EE0">
      <w:pPr>
        <w:rPr>
          <w:sz w:val="24"/>
          <w:szCs w:val="24"/>
        </w:rPr>
      </w:pPr>
      <w:r w:rsidRPr="00045EE0">
        <w:rPr>
          <w:sz w:val="24"/>
          <w:szCs w:val="24"/>
        </w:rPr>
        <w:t>b)</w:t>
      </w:r>
      <w:r w:rsidRPr="00045EE0">
        <w:rPr>
          <w:sz w:val="24"/>
          <w:szCs w:val="24"/>
        </w:rPr>
        <w:tab/>
        <w:t xml:space="preserve"> Any request by a parent for waiver or remission of charges or voluntary contribution should be made in writing, with supporting evidence of receipt of income support, </w:t>
      </w:r>
      <w:proofErr w:type="gramStart"/>
      <w:r w:rsidRPr="00045EE0">
        <w:rPr>
          <w:sz w:val="24"/>
          <w:szCs w:val="24"/>
        </w:rPr>
        <w:t>income based</w:t>
      </w:r>
      <w:proofErr w:type="gramEnd"/>
      <w:r w:rsidRPr="00045EE0">
        <w:rPr>
          <w:sz w:val="24"/>
          <w:szCs w:val="24"/>
        </w:rPr>
        <w:t xml:space="preserve"> job-seekers allowance, support under the Immigration and Asylum Act or similar benefits to the Headteacher who will refer it to the Governors. Any request will be treated in confidence.</w:t>
      </w:r>
    </w:p>
    <w:p w14:paraId="6D930DEE" w14:textId="7C9897E1" w:rsidR="00045EE0" w:rsidRPr="00CB2BEF" w:rsidRDefault="00CB2BEF" w:rsidP="00045EE0">
      <w:pPr>
        <w:rPr>
          <w:i/>
          <w:sz w:val="24"/>
          <w:szCs w:val="24"/>
        </w:rPr>
      </w:pPr>
      <w:r w:rsidRPr="00CB2BEF">
        <w:rPr>
          <w:b/>
          <w:sz w:val="24"/>
          <w:szCs w:val="24"/>
        </w:rPr>
        <w:t>N.B</w:t>
      </w:r>
      <w:r>
        <w:rPr>
          <w:sz w:val="24"/>
          <w:szCs w:val="24"/>
        </w:rPr>
        <w:t xml:space="preserve">. </w:t>
      </w:r>
      <w:r w:rsidR="00045EE0" w:rsidRPr="00CB2BEF">
        <w:rPr>
          <w:i/>
          <w:sz w:val="24"/>
          <w:szCs w:val="24"/>
        </w:rPr>
        <w:t>The</w:t>
      </w:r>
      <w:r w:rsidR="00045EE0" w:rsidRPr="00CB2BEF">
        <w:rPr>
          <w:i/>
          <w:sz w:val="24"/>
          <w:szCs w:val="24"/>
        </w:rPr>
        <w:t xml:space="preserve"> S</w:t>
      </w:r>
      <w:r w:rsidR="00045EE0" w:rsidRPr="00CB2BEF">
        <w:rPr>
          <w:i/>
          <w:sz w:val="24"/>
          <w:szCs w:val="24"/>
        </w:rPr>
        <w:t xml:space="preserve">helford </w:t>
      </w:r>
      <w:r w:rsidR="00045EE0" w:rsidRPr="00CB2BEF">
        <w:rPr>
          <w:i/>
          <w:sz w:val="24"/>
          <w:szCs w:val="24"/>
        </w:rPr>
        <w:t>S</w:t>
      </w:r>
      <w:r w:rsidR="00045EE0" w:rsidRPr="00CB2BEF">
        <w:rPr>
          <w:i/>
          <w:sz w:val="24"/>
          <w:szCs w:val="24"/>
        </w:rPr>
        <w:t xml:space="preserve">chool </w:t>
      </w:r>
      <w:r w:rsidR="00045EE0" w:rsidRPr="00CB2BEF">
        <w:rPr>
          <w:i/>
          <w:sz w:val="24"/>
          <w:szCs w:val="24"/>
        </w:rPr>
        <w:t>S</w:t>
      </w:r>
      <w:r w:rsidR="00045EE0" w:rsidRPr="00CB2BEF">
        <w:rPr>
          <w:i/>
          <w:sz w:val="24"/>
          <w:szCs w:val="24"/>
        </w:rPr>
        <w:t>upport</w:t>
      </w:r>
      <w:r w:rsidRPr="00CB2BEF">
        <w:rPr>
          <w:i/>
          <w:sz w:val="24"/>
          <w:szCs w:val="24"/>
        </w:rPr>
        <w:t xml:space="preserve"> </w:t>
      </w:r>
      <w:r w:rsidR="00045EE0" w:rsidRPr="00CB2BEF">
        <w:rPr>
          <w:i/>
          <w:sz w:val="24"/>
          <w:szCs w:val="24"/>
        </w:rPr>
        <w:t xml:space="preserve">Fund </w:t>
      </w:r>
      <w:r w:rsidRPr="00CB2BEF">
        <w:rPr>
          <w:i/>
          <w:sz w:val="24"/>
          <w:szCs w:val="24"/>
        </w:rPr>
        <w:t xml:space="preserve">means that </w:t>
      </w:r>
      <w:r w:rsidR="00045EE0" w:rsidRPr="00CB2BEF">
        <w:rPr>
          <w:i/>
          <w:sz w:val="24"/>
          <w:szCs w:val="24"/>
        </w:rPr>
        <w:t>we can treat with compassion those who are struggling to meet costs.</w:t>
      </w:r>
      <w:r w:rsidRPr="00CB2BEF">
        <w:rPr>
          <w:i/>
          <w:sz w:val="24"/>
          <w:szCs w:val="24"/>
        </w:rPr>
        <w:t xml:space="preserve"> </w:t>
      </w:r>
      <w:r w:rsidR="00045EE0" w:rsidRPr="00CB2BEF">
        <w:rPr>
          <w:i/>
          <w:sz w:val="24"/>
          <w:szCs w:val="24"/>
        </w:rPr>
        <w:t>The Parochial Charities charity would also be very happy to assist children who live in G</w:t>
      </w:r>
      <w:r w:rsidRPr="00CB2BEF">
        <w:rPr>
          <w:i/>
          <w:sz w:val="24"/>
          <w:szCs w:val="24"/>
        </w:rPr>
        <w:t>rea</w:t>
      </w:r>
      <w:r w:rsidR="00045EE0" w:rsidRPr="00CB2BEF">
        <w:rPr>
          <w:i/>
          <w:sz w:val="24"/>
          <w:szCs w:val="24"/>
        </w:rPr>
        <w:t>t S</w:t>
      </w:r>
      <w:r w:rsidRPr="00CB2BEF">
        <w:rPr>
          <w:i/>
          <w:sz w:val="24"/>
          <w:szCs w:val="24"/>
        </w:rPr>
        <w:t xml:space="preserve">helford upon </w:t>
      </w:r>
      <w:r w:rsidR="00045EE0" w:rsidRPr="00CB2BEF">
        <w:rPr>
          <w:i/>
          <w:sz w:val="24"/>
          <w:szCs w:val="24"/>
        </w:rPr>
        <w:t>a request from school.</w:t>
      </w:r>
      <w:r w:rsidRPr="00CB2BEF">
        <w:rPr>
          <w:i/>
          <w:sz w:val="24"/>
          <w:szCs w:val="24"/>
        </w:rPr>
        <w:t xml:space="preserve"> Children in receipt of Pupil Premium funding will be entitled to receive support as a matter of course.</w:t>
      </w:r>
    </w:p>
    <w:p w14:paraId="04D76805" w14:textId="77777777" w:rsidR="00045EE0" w:rsidRPr="00045EE0" w:rsidRDefault="00045EE0" w:rsidP="00045EE0">
      <w:pPr>
        <w:rPr>
          <w:sz w:val="24"/>
          <w:szCs w:val="24"/>
        </w:rPr>
      </w:pPr>
    </w:p>
    <w:p w14:paraId="349EDAE5" w14:textId="0ECDD707" w:rsidR="00041DF0" w:rsidRPr="00045EE0" w:rsidRDefault="00045EE0" w:rsidP="00E710E6">
      <w:pPr>
        <w:rPr>
          <w:sz w:val="24"/>
          <w:szCs w:val="24"/>
        </w:rPr>
      </w:pPr>
      <w:r w:rsidRPr="00045EE0">
        <w:rPr>
          <w:sz w:val="24"/>
          <w:szCs w:val="24"/>
        </w:rPr>
        <w:tab/>
      </w:r>
    </w:p>
    <w:sectPr w:rsidR="00041DF0" w:rsidRPr="00045EE0" w:rsidSect="00586010">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B932D" w14:textId="77777777" w:rsidR="00A829A6" w:rsidRDefault="00A829A6" w:rsidP="00653879">
      <w:pPr>
        <w:spacing w:after="0" w:line="240" w:lineRule="auto"/>
      </w:pPr>
      <w:r>
        <w:separator/>
      </w:r>
    </w:p>
  </w:endnote>
  <w:endnote w:type="continuationSeparator" w:id="0">
    <w:p w14:paraId="169A62C0" w14:textId="77777777" w:rsidR="00A829A6" w:rsidRDefault="00A829A6"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92985"/>
      <w:docPartObj>
        <w:docPartGallery w:val="Page Numbers (Bottom of Page)"/>
        <w:docPartUnique/>
      </w:docPartObj>
    </w:sdtPr>
    <w:sdtEndPr>
      <w:rPr>
        <w:noProof/>
      </w:rPr>
    </w:sdtEndPr>
    <w:sdtContent>
      <w:p w14:paraId="132AD580" w14:textId="77777777" w:rsidR="00C16FFD" w:rsidRPr="00653879" w:rsidRDefault="00FE6F37" w:rsidP="00C16FFD">
        <w:pPr>
          <w:pStyle w:val="Footer"/>
          <w:jc w:val="center"/>
        </w:pPr>
        <w:r>
          <w:fldChar w:fldCharType="begin"/>
        </w:r>
        <w:r w:rsidR="00C16FFD">
          <w:instrText xml:space="preserve"> PAGE   \* MERGEFORMAT </w:instrText>
        </w:r>
        <w:r>
          <w:fldChar w:fldCharType="separate"/>
        </w:r>
        <w:r w:rsidR="002336D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11A8" w14:textId="77777777" w:rsidR="00A829A6" w:rsidRDefault="00A829A6" w:rsidP="00653879">
      <w:pPr>
        <w:spacing w:after="0" w:line="240" w:lineRule="auto"/>
      </w:pPr>
      <w:r>
        <w:separator/>
      </w:r>
    </w:p>
  </w:footnote>
  <w:footnote w:type="continuationSeparator" w:id="0">
    <w:p w14:paraId="4A926D87" w14:textId="77777777" w:rsidR="00A829A6" w:rsidRDefault="00A829A6"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37BB"/>
    <w:multiLevelType w:val="hybridMultilevel"/>
    <w:tmpl w:val="A120F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F2AFC"/>
    <w:multiLevelType w:val="hybridMultilevel"/>
    <w:tmpl w:val="A120F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CE2316"/>
    <w:multiLevelType w:val="hybridMultilevel"/>
    <w:tmpl w:val="A120F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33300"/>
    <w:multiLevelType w:val="hybridMultilevel"/>
    <w:tmpl w:val="A120F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F2E65"/>
    <w:multiLevelType w:val="hybridMultilevel"/>
    <w:tmpl w:val="A120F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70CC4"/>
    <w:multiLevelType w:val="multilevel"/>
    <w:tmpl w:val="E018BBE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4"/>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7"/>
  </w:num>
  <w:num w:numId="17">
    <w:abstractNumId w:val="1"/>
  </w:num>
  <w:num w:numId="18">
    <w:abstractNumId w:val="3"/>
  </w:num>
  <w:num w:numId="19">
    <w:abstractNumId w:val="1"/>
  </w:num>
  <w:num w:numId="20">
    <w:abstractNumId w:val="6"/>
  </w:num>
  <w:num w:numId="21">
    <w:abstractNumId w:val="1"/>
  </w:num>
  <w:num w:numId="22">
    <w:abstractNumId w:val="1"/>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2C"/>
    <w:rsid w:val="00041DF0"/>
    <w:rsid w:val="00042906"/>
    <w:rsid w:val="00045EE0"/>
    <w:rsid w:val="00065323"/>
    <w:rsid w:val="000D370C"/>
    <w:rsid w:val="00183F9A"/>
    <w:rsid w:val="002336D8"/>
    <w:rsid w:val="002B084D"/>
    <w:rsid w:val="002B42B3"/>
    <w:rsid w:val="002E3BD7"/>
    <w:rsid w:val="00364F73"/>
    <w:rsid w:val="00394E4E"/>
    <w:rsid w:val="003C51D1"/>
    <w:rsid w:val="003F696F"/>
    <w:rsid w:val="004940E2"/>
    <w:rsid w:val="00497728"/>
    <w:rsid w:val="004F13B0"/>
    <w:rsid w:val="00586010"/>
    <w:rsid w:val="00601919"/>
    <w:rsid w:val="00653879"/>
    <w:rsid w:val="006B421A"/>
    <w:rsid w:val="006B5D45"/>
    <w:rsid w:val="006D37E2"/>
    <w:rsid w:val="00733087"/>
    <w:rsid w:val="0074087B"/>
    <w:rsid w:val="00740E29"/>
    <w:rsid w:val="00751C38"/>
    <w:rsid w:val="00753481"/>
    <w:rsid w:val="00862C0B"/>
    <w:rsid w:val="008A38F2"/>
    <w:rsid w:val="008A5D5E"/>
    <w:rsid w:val="00903779"/>
    <w:rsid w:val="009164CB"/>
    <w:rsid w:val="00953B20"/>
    <w:rsid w:val="0096132C"/>
    <w:rsid w:val="009F3B3C"/>
    <w:rsid w:val="00A548B8"/>
    <w:rsid w:val="00A829A6"/>
    <w:rsid w:val="00AD191D"/>
    <w:rsid w:val="00B272EF"/>
    <w:rsid w:val="00B45E88"/>
    <w:rsid w:val="00B5413D"/>
    <w:rsid w:val="00BE6F79"/>
    <w:rsid w:val="00C16FFD"/>
    <w:rsid w:val="00C46A17"/>
    <w:rsid w:val="00C63551"/>
    <w:rsid w:val="00C67DE1"/>
    <w:rsid w:val="00C80CD5"/>
    <w:rsid w:val="00CB2BEF"/>
    <w:rsid w:val="00DB646C"/>
    <w:rsid w:val="00DE1899"/>
    <w:rsid w:val="00E5650F"/>
    <w:rsid w:val="00E710E6"/>
    <w:rsid w:val="00EA6FD6"/>
    <w:rsid w:val="00EA747A"/>
    <w:rsid w:val="00ED25C4"/>
    <w:rsid w:val="00F3002F"/>
    <w:rsid w:val="00F54EA6"/>
    <w:rsid w:val="00F83BCF"/>
    <w:rsid w:val="00FC5AB6"/>
    <w:rsid w:val="00FE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D12618"/>
  <w15:docId w15:val="{E160BE01-0C5E-4B56-9B72-8D0CC601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paragraph" w:styleId="Title">
    <w:name w:val="Title"/>
    <w:basedOn w:val="Normal"/>
    <w:link w:val="TitleChar"/>
    <w:qFormat/>
    <w:rsid w:val="002336D8"/>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2336D8"/>
    <w:rPr>
      <w:rFonts w:ascii="Times New Roman" w:eastAsia="Times New Roman" w:hAnsi="Times New Roman" w:cs="Times New Roman"/>
      <w:b/>
      <w:bCs/>
      <w:sz w:val="28"/>
      <w:szCs w:val="24"/>
      <w:u w:val="single"/>
    </w:rPr>
  </w:style>
  <w:style w:type="character" w:styleId="Emphasis">
    <w:name w:val="Emphasis"/>
    <w:basedOn w:val="DefaultParagraphFont"/>
    <w:qFormat/>
    <w:rsid w:val="00233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 w:id="19995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Policy%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FC95-3139-4FAE-8DC2-DF389DEA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2016.dotx</Template>
  <TotalTime>14</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Liz Jenkin</cp:lastModifiedBy>
  <cp:revision>3</cp:revision>
  <cp:lastPrinted>2016-05-26T11:20:00Z</cp:lastPrinted>
  <dcterms:created xsi:type="dcterms:W3CDTF">2018-03-21T21:05:00Z</dcterms:created>
  <dcterms:modified xsi:type="dcterms:W3CDTF">2018-03-21T21:19:00Z</dcterms:modified>
</cp:coreProperties>
</file>